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B6" w:rsidRDefault="006B6BB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B6BB6">
        <w:tc>
          <w:tcPr>
            <w:tcW w:w="4785" w:type="dxa"/>
            <w:shd w:val="clear" w:color="auto" w:fill="auto"/>
          </w:tcPr>
          <w:p w:rsidR="006B6BB6" w:rsidRDefault="006B6BB6">
            <w:pPr>
              <w:pStyle w:val="Body1"/>
              <w:jc w:val="right"/>
              <w:rPr>
                <w:rFonts w:ascii="Times New Roman" w:eastAsia="Helvetica" w:hAnsi="Times New Roman"/>
                <w:color w:val="00000A"/>
                <w:sz w:val="28"/>
                <w:szCs w:val="28"/>
                <w:lang w:val="ru-RU"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6B6BB6" w:rsidRDefault="00D41683">
            <w:pPr>
              <w:shd w:val="clear" w:color="auto" w:fill="FFFFFF"/>
              <w:spacing w:before="2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УТВЕРЖДАЮ </w:t>
            </w:r>
          </w:p>
          <w:p w:rsidR="006B6BB6" w:rsidRDefault="006B6BB6">
            <w:pPr>
              <w:shd w:val="clear" w:color="auto" w:fill="FFFFFF"/>
              <w:spacing w:before="2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</w:p>
          <w:p w:rsidR="006B6BB6" w:rsidRDefault="00D41683">
            <w:pPr>
              <w:shd w:val="clear" w:color="auto" w:fill="FFFFFF"/>
              <w:spacing w:before="2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______________________</w:t>
            </w:r>
          </w:p>
          <w:p w:rsidR="006B6BB6" w:rsidRDefault="00D41683">
            <w:pPr>
              <w:shd w:val="clear" w:color="auto" w:fill="FFFFFF"/>
              <w:spacing w:before="2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митрополит</w:t>
            </w:r>
          </w:p>
          <w:p w:rsidR="006B6BB6" w:rsidRDefault="00D41683">
            <w:pPr>
              <w:shd w:val="clear" w:color="auto" w:fill="FFFFFF"/>
              <w:spacing w:before="2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Крутицкий и Коломенский</w:t>
            </w:r>
          </w:p>
          <w:p w:rsidR="006B6BB6" w:rsidRDefault="00D4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 xml:space="preserve">                                                                   1 сентября 2021 года</w:t>
            </w:r>
          </w:p>
        </w:tc>
      </w:tr>
    </w:tbl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176499" w:rsidRDefault="00176499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bookmarkStart w:id="0" w:name="_GoBack"/>
      <w:bookmarkEnd w:id="0"/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6B6BB6">
      <w:pPr>
        <w:pStyle w:val="Body1"/>
        <w:ind w:firstLine="720"/>
        <w:jc w:val="right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</w:p>
    <w:p w:rsidR="006B6BB6" w:rsidRDefault="00D41683">
      <w:pPr>
        <w:spacing w:after="113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6BB6" w:rsidRDefault="00D41683">
      <w:pPr>
        <w:spacing w:after="113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АТТЕСТАЦИОННОЙ КОМИССИИ </w:t>
      </w:r>
    </w:p>
    <w:p w:rsidR="006B6BB6" w:rsidRDefault="00D41683">
      <w:pPr>
        <w:shd w:val="clear" w:color="auto" w:fill="FFFFFF"/>
        <w:spacing w:after="11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КОЛОМЕНСКОЙ ЕПАРХИИ</w:t>
      </w:r>
    </w:p>
    <w:p w:rsidR="006B6BB6" w:rsidRDefault="00D41683">
      <w:pPr>
        <w:shd w:val="clear" w:color="auto" w:fill="FFFFFF"/>
        <w:spacing w:after="11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РУССКОЙ ПРАВОСЛАВНОЙ ЦЕРКВИ</w:t>
      </w:r>
    </w:p>
    <w:p w:rsidR="006B6BB6" w:rsidRDefault="00D41683">
      <w:pPr>
        <w:shd w:val="clear" w:color="auto" w:fill="FFFFFF"/>
        <w:spacing w:after="11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(МОСКОВСКИЙ ПАТРИАРХАТ)</w:t>
      </w: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6B6BB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6B6BB6" w:rsidRDefault="006B6BB6">
      <w:pPr>
        <w:pStyle w:val="Body1"/>
        <w:outlineLvl w:val="0"/>
        <w:rPr>
          <w:rFonts w:ascii="Times New Roman" w:eastAsia="Helvetica" w:hAnsi="Times New Roman"/>
          <w:b/>
          <w:color w:val="00000A"/>
          <w:sz w:val="28"/>
          <w:szCs w:val="28"/>
          <w:lang w:val="el-GR"/>
        </w:rPr>
      </w:pPr>
    </w:p>
    <w:p w:rsidR="006B6BB6" w:rsidRDefault="00D416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 Аттестационная комиссия Коломенской епархии Русской Православной Церкви (далее </w:t>
      </w:r>
      <w:r>
        <w:rPr>
          <w:rFonts w:ascii="Times New Roman" w:eastAsia="Helvetica" w:hAnsi="Times New Roman"/>
          <w:sz w:val="28"/>
          <w:szCs w:val="28"/>
        </w:rPr>
        <w:t xml:space="preserve">по тексту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Комиссия) образована </w:t>
      </w:r>
      <w:r w:rsidR="004B5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4B51C5">
        <w:rPr>
          <w:rFonts w:ascii="Times New Roman" w:eastAsia="Helvetica" w:hAnsi="Times New Roman"/>
          <w:sz w:val="28"/>
          <w:szCs w:val="28"/>
        </w:rPr>
        <w:t>митрополита Крутицкого и Коломенского</w:t>
      </w:r>
      <w:r>
        <w:rPr>
          <w:rFonts w:ascii="Times New Roman" w:eastAsia="Helvetica" w:hAnsi="Times New Roman"/>
          <w:sz w:val="28"/>
          <w:szCs w:val="28"/>
        </w:rPr>
        <w:t xml:space="preserve"> (далее по тексту – Епархиальный архиерей)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2608 от 14 июля 2021 года. 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1.2. Комиссия является структурным подразделением </w:t>
      </w:r>
      <w:r>
        <w:rPr>
          <w:rFonts w:ascii="Times New Roman" w:eastAsia="Times New Roman" w:hAnsi="Times New Roman"/>
          <w:sz w:val="28"/>
          <w:szCs w:val="28"/>
        </w:rPr>
        <w:t xml:space="preserve">Религиозной организации «Коломенская Епархия Русской Православной Церкви (Московский Патриархат)»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служит методическим и координирующим центром по вопросам аттестации ставленников и иных лиц по поручению </w:t>
      </w:r>
      <w:r>
        <w:rPr>
          <w:rFonts w:ascii="Times New Roman" w:eastAsia="Helvetica" w:hAnsi="Times New Roman"/>
          <w:sz w:val="28"/>
          <w:szCs w:val="28"/>
        </w:rPr>
        <w:t>Епархиального архиерея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BB6" w:rsidRDefault="00D416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1.3. Комиссия не является юридическим лицом.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1.4. В своей деятельности Комиссия руководствуется Уставом Русской Православной Церкви, действующим законодательством Российской Федерации, внутренними установлениями Русской Православной Церкви, Уставом </w:t>
      </w:r>
      <w:r>
        <w:rPr>
          <w:rFonts w:ascii="Times New Roman" w:eastAsia="Helvetica" w:hAnsi="Times New Roman"/>
          <w:sz w:val="28"/>
          <w:szCs w:val="28"/>
        </w:rPr>
        <w:t>Религиозной организации «Коломенская Епархия Русской Православной Церкви (Московский Патриархат)»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настоящим Положением, указаниями </w:t>
      </w:r>
      <w:r>
        <w:rPr>
          <w:rFonts w:ascii="Times New Roman" w:eastAsia="Helvetica" w:hAnsi="Times New Roman"/>
          <w:sz w:val="28"/>
          <w:szCs w:val="28"/>
        </w:rPr>
        <w:t>Епархиального архиерея, Епархиального собрания и Епархиального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BB6" w:rsidRDefault="00D416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основные направления работы Комиссии</w:t>
      </w:r>
    </w:p>
    <w:p w:rsidR="006B6BB6" w:rsidRDefault="00D416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 Целью деятельности Комиссии является организация подготовки и проведение аттестации ставленников и клириков Коломенской епархии.</w:t>
      </w:r>
    </w:p>
    <w:p w:rsidR="006B6BB6" w:rsidRDefault="00D416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 Основные направления работы:</w:t>
      </w:r>
    </w:p>
    <w:p w:rsidR="004B51C5" w:rsidRPr="004B51C5" w:rsidRDefault="00D41683" w:rsidP="000840E0">
      <w:pPr>
        <w:pStyle w:val="af5"/>
        <w:numPr>
          <w:ilvl w:val="0"/>
          <w:numId w:val="2"/>
        </w:numPr>
        <w:spacing w:before="120" w:after="120" w:line="240" w:lineRule="auto"/>
        <w:jc w:val="both"/>
      </w:pPr>
      <w:r w:rsidRPr="004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ставленников перед хиротонией;</w:t>
      </w:r>
    </w:p>
    <w:p w:rsidR="004B51C5" w:rsidRPr="004B51C5" w:rsidRDefault="00D41683" w:rsidP="000840E0">
      <w:pPr>
        <w:pStyle w:val="af5"/>
        <w:numPr>
          <w:ilvl w:val="0"/>
          <w:numId w:val="2"/>
        </w:numPr>
        <w:spacing w:before="120" w:after="120" w:line="240" w:lineRule="auto"/>
        <w:jc w:val="both"/>
      </w:pPr>
      <w:r w:rsidRPr="004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клириков, переходящих из других епархий;</w:t>
      </w:r>
    </w:p>
    <w:p w:rsidR="004B51C5" w:rsidRPr="004B51C5" w:rsidRDefault="00D41683" w:rsidP="00CE3E03">
      <w:pPr>
        <w:pStyle w:val="af5"/>
        <w:numPr>
          <w:ilvl w:val="0"/>
          <w:numId w:val="2"/>
        </w:numPr>
        <w:spacing w:before="120" w:after="120" w:line="240" w:lineRule="auto"/>
        <w:jc w:val="both"/>
      </w:pPr>
      <w:r w:rsidRPr="004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клириков, запрещенных в священнослужении и подавших прошение о восстановлении;</w:t>
      </w:r>
    </w:p>
    <w:p w:rsidR="006B6BB6" w:rsidRDefault="00D41683" w:rsidP="006F09CB">
      <w:pPr>
        <w:pStyle w:val="af5"/>
        <w:numPr>
          <w:ilvl w:val="0"/>
          <w:numId w:val="2"/>
        </w:numPr>
        <w:spacing w:before="120" w:after="120" w:line="240" w:lineRule="auto"/>
        <w:jc w:val="both"/>
      </w:pPr>
      <w:r w:rsidRPr="004B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вопросы по поручению </w:t>
      </w:r>
      <w:r w:rsidRPr="004B51C5">
        <w:rPr>
          <w:rFonts w:ascii="Times New Roman" w:eastAsia="Helvetica" w:hAnsi="Times New Roman"/>
          <w:sz w:val="28"/>
          <w:szCs w:val="28"/>
        </w:rPr>
        <w:t>Епархиального архиерея</w:t>
      </w:r>
      <w:r w:rsidRPr="004B5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BB6" w:rsidRDefault="00D416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и организация работы Комиссии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 Деятельностью Комиссии руководит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назначаемый и освобождаемый от должности </w:t>
      </w:r>
      <w:r>
        <w:rPr>
          <w:rFonts w:ascii="Times New Roman" w:eastAsia="Helvetica" w:hAnsi="Times New Roman"/>
          <w:sz w:val="28"/>
          <w:szCs w:val="28"/>
        </w:rPr>
        <w:t>Епархиальным архиереем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координирует работу всех сотрудников, определяет их обязанности, издает внутренние распоряжения, созывает заседания Комиссии, осуществляет взаимодействие с подразделениями Коломенской епархии.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Секретарь и члены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согласовывают свою деятельность с председателем и подотчетны ему по всем вопросам деятельности Комиссии.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Секретарь и члены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назначаются и освобождаются от должности </w:t>
      </w:r>
      <w:r>
        <w:rPr>
          <w:rFonts w:ascii="Times New Roman" w:eastAsia="Helvetica" w:hAnsi="Times New Roman"/>
          <w:sz w:val="28"/>
          <w:szCs w:val="28"/>
        </w:rPr>
        <w:t>Епархиальным архиереем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3.3. 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Секретар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осуществляет всю необходимую коммуникацию, регистрацию и представление документов, адресованных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Комиссии, осуществляет текущую переписку, ведет протоколы заседаний Комиссии, несет ответственность за ведение и хранение документов Комиссии, выполняет иные поручения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3.5. В Комиссии ведется делопроизводство, форма которого определяется </w:t>
      </w:r>
      <w:r>
        <w:rPr>
          <w:rFonts w:ascii="Times New Roman" w:eastAsia="Times New Roman" w:hAnsi="Times New Roman"/>
          <w:sz w:val="28"/>
          <w:szCs w:val="28"/>
        </w:rPr>
        <w:t>председателем Комиссии в соответствии с церковными стандартами, рекомендациями Епархиального управления и общецерковных структур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BB6" w:rsidRPr="004B51C5" w:rsidRDefault="00D41683">
      <w:pPr>
        <w:pStyle w:val="Body1"/>
        <w:jc w:val="both"/>
        <w:rPr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ab/>
        <w:t>3.6. 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 xml:space="preserve">Комиссия имеет бланк и печать для оформления исходящей корреспонденции и внутренних документов комиссии. На бланке и печати комиссии размещается полное название Комиссии, указывается ее принадлежность к Коломенской епархии. Форма бланка и печати утверждается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Епархиальным архиереем 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по представлению председателя Комиссии.</w:t>
      </w:r>
    </w:p>
    <w:p w:rsidR="006B6BB6" w:rsidRDefault="00D4168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3.7. Комиссия может пользоваться материальной базой в виде помещений для канцелярии и секретариата, оргтехники. Комиссия имеет свою библиотеку.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3.8. Материальное обеспечение деятельности Комиссии осуществляется за счет средств религиозных организаций, в которых несут свои послушания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председатель, секретарь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3.9. При назначении нового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ему передаются:</w:t>
      </w:r>
    </w:p>
    <w:p w:rsidR="006B6BB6" w:rsidRDefault="00D4168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 Комиссии в бумажной и электронной и форме;</w:t>
      </w:r>
    </w:p>
    <w:p w:rsidR="006B6BB6" w:rsidRDefault="00D4168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Комиссии;</w:t>
      </w:r>
    </w:p>
    <w:p w:rsidR="006B6BB6" w:rsidRDefault="00D4168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каталоги и другие учетные материалы;</w:t>
      </w:r>
    </w:p>
    <w:p w:rsidR="006B6BB6" w:rsidRDefault="00D4168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Комиссии.</w:t>
      </w:r>
    </w:p>
    <w:p w:rsidR="006B6BB6" w:rsidRDefault="00D416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Комиссии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 В конце календарного года, в установленные Епархиальным управлением сроки, Комиссия представляет в Епархиальное управление отчет о своей деятельности. Отчет Комиссии утверждается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 Согласно резолюции </w:t>
      </w:r>
      <w:r>
        <w:rPr>
          <w:rFonts w:ascii="Times New Roman" w:eastAsia="Helvetica" w:hAnsi="Times New Roman"/>
          <w:sz w:val="28"/>
          <w:szCs w:val="28"/>
        </w:rPr>
        <w:t>Епархиального архиерея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касающиеся хиротонии, перехода клирика из другой епархии, восстановлении в священнослужении запрещенного клирика и другим вопросам дело ставленника или клирика вместе с необходимыми документами отправляется в Комиссию на рассмотрение. 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4.3. 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созывает заседание Комиссии для собеседования с аттестуемым, при необходимости и его супругой, и проведения ставленнического экзамена (для ставленника).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4.4. В заседании Комиссии, которое носит закрытый характер, принимает участие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при необходимости благочинные церковных округов, чьи ставленники или клирики участвуют в аттестации.</w:t>
      </w:r>
    </w:p>
    <w:p w:rsidR="006B6BB6" w:rsidRDefault="00D41683">
      <w:pPr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4.5. В начале заседания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оглашает повестку дня и дает рекомендации к текущему собранию.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зачитывает автобиографию аттестуемого и знакомит членов Комиссии с его личным делом.</w:t>
      </w:r>
    </w:p>
    <w:p w:rsidR="006B6BB6" w:rsidRDefault="00D41683">
      <w:pPr>
        <w:shd w:val="clear" w:color="auto" w:fill="FFFFFF"/>
        <w:spacing w:before="120" w:after="120" w:line="240" w:lineRule="auto"/>
        <w:ind w:right="-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4.6. Аттестация проходит в формате индивидуальной встречи-беседы ставленника или клирика и его супруги с членами Комиссии. Аттестуемому задаются вопросы личного и духовно-нравственного характера. В ходе собеседования кандидат в священный сан проходит ставленнический экзамен согласно Списку вопросов для кандидатов на рукоположение в сан диакона или пресвитера, утвержденному </w:t>
      </w:r>
      <w:r>
        <w:rPr>
          <w:rFonts w:ascii="Times New Roman" w:eastAsia="Helvetica" w:hAnsi="Times New Roman"/>
          <w:sz w:val="28"/>
          <w:szCs w:val="28"/>
        </w:rPr>
        <w:t>Епархиальным архиереем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иным вопросам по пастырской и богослужебной практике. Комиссия может давать аттестуемому устные рекомендации относительно его личной и духовной жизни, рекомендовать литературу для подготовки к пастырскому служению.</w:t>
      </w:r>
    </w:p>
    <w:p w:rsidR="006B6BB6" w:rsidRDefault="00D41683">
      <w:pPr>
        <w:shd w:val="clear" w:color="auto" w:fill="FFFFFF"/>
        <w:spacing w:before="120" w:after="120" w:line="240" w:lineRule="auto"/>
        <w:ind w:right="-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4.7. Решение о прохождении ставленником или клириком аттестации принимается открытым голосованием членов Комиссии. При равном количестве голосов, голос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решающим. </w:t>
      </w:r>
    </w:p>
    <w:p w:rsidR="006B6BB6" w:rsidRDefault="00D41683">
      <w:pPr>
        <w:shd w:val="clear" w:color="auto" w:fill="FFFFFF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4.8. Решения Комиссии фиксируются в протоколе заседания Комиссии, в котором члены Комиссии формируют свое мнение об аттестуемом и предлагают свои рекомендации. </w:t>
      </w:r>
    </w:p>
    <w:p w:rsidR="006B6BB6" w:rsidRDefault="00D41683">
      <w:pPr>
        <w:shd w:val="clear" w:color="auto" w:fill="FFFFFF"/>
        <w:spacing w:before="120" w:after="120" w:line="240" w:lineRule="auto"/>
        <w:ind w:right="-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4.9. Протокол заседания Комиссии подписывается всеми членами комиссии и подается вместе с рапортом на утверждение </w:t>
      </w:r>
      <w:r>
        <w:rPr>
          <w:rFonts w:ascii="Times New Roman" w:eastAsia="Helvetica" w:hAnsi="Times New Roman"/>
          <w:sz w:val="28"/>
          <w:szCs w:val="28"/>
        </w:rPr>
        <w:t>Епархиальному архиерею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BB6" w:rsidRDefault="00D416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Взаимодействие Комиссии с другими каноническими подразделениями Коломенской епархии</w:t>
      </w:r>
    </w:p>
    <w:p w:rsidR="006B6BB6" w:rsidRDefault="00D41683">
      <w:pPr>
        <w:shd w:val="clear" w:color="auto" w:fill="FFFFFF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5.1. Комиссия осуществляет взаимодействие с Епархиальным управлением, благочиниями Коломенской епархии, Коломенской духовной семинарией и иными епархиальными структурами для эффективного решения поставленных задач.</w:t>
      </w: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B51C5" w:rsidRDefault="004B51C5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B6BB6" w:rsidRDefault="00D41683">
      <w:pPr>
        <w:shd w:val="clear" w:color="auto" w:fill="FFFFFF"/>
        <w:spacing w:after="12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:rsidR="006B6BB6" w:rsidRDefault="00D416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для рукополагаемого в священный сан</w:t>
      </w:r>
    </w:p>
    <w:p w:rsidR="006B6BB6" w:rsidRDefault="006B6BB6">
      <w:pPr>
        <w:spacing w:before="120" w:after="120" w:line="240" w:lineRule="auto"/>
        <w:jc w:val="center"/>
        <w:rPr>
          <w:sz w:val="24"/>
        </w:rPr>
      </w:pPr>
    </w:p>
    <w:tbl>
      <w:tblPr>
        <w:tblW w:w="10755" w:type="dxa"/>
        <w:tblInd w:w="-10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07"/>
        <w:gridCol w:w="4676"/>
        <w:gridCol w:w="5372"/>
      </w:tblGrid>
      <w:tr w:rsidR="006B6BB6">
        <w:trPr>
          <w:cantSplit/>
          <w:trHeight w:val="113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  <w:p w:rsidR="006B6BB6" w:rsidRDefault="00D41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изменялись – указать.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58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01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крещения </w:t>
            </w:r>
          </w:p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честь какого святого наречен, дата памяти).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701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Национальность, Гражданство.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92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Богословское образование, когда и какое учебное заведение окончил.</w:t>
            </w:r>
          </w:p>
          <w:p w:rsidR="006B6BB6" w:rsidRDefault="006B6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77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Светское образование, когда и какое учебное заведение окончил.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867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положение: женат, холост, разведен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вдовец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918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Первый ли это брак. Не был ли ранее в ином зарегистрированном или гражданском браке</w:t>
            </w:r>
            <w:r>
              <w:rPr>
                <w:rStyle w:val="aa"/>
                <w:rFonts w:ascii="Times New Roman" w:hAnsi="Times New Roman" w:cs="Times New Roman"/>
                <w:spacing w:val="-20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520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венчания.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13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Девичья Ф.И.О. супруги.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523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её рождения.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567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место её крещения.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962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Первый ли это её брак. Не состояла ли она ранее в ином зарегистрированном или гражданском браке.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97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согласие супруги на принятие сана (подпись супруги).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133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Имена и возраст детей (указать №№ паспорта или свидетельства о рождении).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134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родителей и их профессия. Если скончались год смерти.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Отец:</w:t>
            </w: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B6BB6" w:rsidRDefault="00D4168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Мать:</w:t>
            </w:r>
          </w:p>
        </w:tc>
      </w:tr>
      <w:tr w:rsidR="006B6BB6">
        <w:trPr>
          <w:cantSplit/>
          <w:trHeight w:val="141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профессия и род занятий в настоящее время. Если есть трудовая книжка - приложить копию.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422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 ли судим,</w:t>
            </w:r>
          </w:p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какому обвинению.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292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Отношение к воинской службе: (военнообязанный или нет) служил ли в ВС, в каком качестве. Какое звание в запасе.</w:t>
            </w:r>
          </w:p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Если не служил, то какова причина освобождения (указать номер военного билета (приписного)).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64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Имеет ли какой-либо физический недостаток или заболевание препятствующие священнослужению.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835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Состоял ли в расколе или в других конфессиях или сектах, и в каком качестве.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016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Участвовал ли в политической деятельности. Состоял ли в партии или общественной организации.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BB6">
        <w:trPr>
          <w:cantSplit/>
          <w:trHeight w:val="1192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numPr>
                <w:ilvl w:val="0"/>
                <w:numId w:val="5"/>
              </w:num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D4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(с почтовым индексом), номер контактного телефона и электронной почты.</w:t>
            </w:r>
          </w:p>
        </w:tc>
        <w:tc>
          <w:tcPr>
            <w:tcW w:w="5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BB6" w:rsidRDefault="006B6B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BB6" w:rsidRDefault="006B6BB6">
      <w:pPr>
        <w:rPr>
          <w:sz w:val="24"/>
          <w:szCs w:val="20"/>
        </w:rPr>
      </w:pPr>
    </w:p>
    <w:p w:rsidR="006B6BB6" w:rsidRDefault="006B6BB6">
      <w:pPr>
        <w:rPr>
          <w:sz w:val="24"/>
        </w:rPr>
      </w:pPr>
    </w:p>
    <w:p w:rsidR="006B6BB6" w:rsidRDefault="00D41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 202__г.     Подпись ________________________________</w:t>
      </w:r>
    </w:p>
    <w:p w:rsidR="006B6BB6" w:rsidRDefault="00D41683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6B6BB6" w:rsidRDefault="00D41683">
      <w:pPr>
        <w:spacing w:before="120" w:after="12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Приложение 2</w:t>
      </w:r>
    </w:p>
    <w:p w:rsidR="006B6BB6" w:rsidRDefault="00D41683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документов для рукополагаемого в священный сан</w:t>
      </w:r>
    </w:p>
    <w:p w:rsidR="006B6BB6" w:rsidRDefault="006B6BB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B6" w:rsidRDefault="00D41683">
      <w:pPr>
        <w:numPr>
          <w:ilvl w:val="0"/>
          <w:numId w:val="6"/>
        </w:numPr>
        <w:spacing w:before="80" w:after="8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Прошение на имя митрополита Павла о рукоположении.</w:t>
      </w:r>
    </w:p>
    <w:p w:rsidR="006B6BB6" w:rsidRDefault="00D41683">
      <w:pPr>
        <w:numPr>
          <w:ilvl w:val="0"/>
          <w:numId w:val="6"/>
        </w:numPr>
        <w:spacing w:before="80" w:after="80" w:line="240" w:lineRule="auto"/>
        <w:ind w:right="-132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автобиография (подавать в печатном виде, не допускаются аббревиатуры).</w:t>
      </w:r>
    </w:p>
    <w:p w:rsidR="006B6BB6" w:rsidRDefault="00D41683">
      <w:pPr>
        <w:numPr>
          <w:ilvl w:val="0"/>
          <w:numId w:val="6"/>
        </w:numPr>
        <w:spacing w:before="80" w:after="8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рукополагаемого в священный сан. В анкете не допускаются сокращения. Если ставленник женат, то в 14 пункте подпись должна поставить супруга ставленника. Если ставленник в монашеском чине, то в 9, 10, 11, 12, 13 и 14 пунктах ставятся прочерки, но пункты 8 и 15 заполняются</w:t>
      </w:r>
    </w:p>
    <w:p w:rsidR="006B6BB6" w:rsidRDefault="00D41683">
      <w:pPr>
        <w:numPr>
          <w:ilvl w:val="0"/>
          <w:numId w:val="6"/>
        </w:numPr>
        <w:spacing w:before="80" w:after="8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благочинного.</w:t>
      </w:r>
    </w:p>
    <w:p w:rsidR="006B6BB6" w:rsidRDefault="00D41683">
      <w:pPr>
        <w:pStyle w:val="af5"/>
        <w:numPr>
          <w:ilvl w:val="0"/>
          <w:numId w:val="6"/>
        </w:numPr>
        <w:spacing w:before="80" w:after="8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месту прописки собираются справки (с соответствующими подписями и печатями): 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 психоневрологического диспансера; 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</w:pPr>
      <w:r>
        <w:rPr>
          <w:rFonts w:ascii="Times New Roman" w:hAnsi="Times New Roman" w:cs="Times New Roman"/>
          <w:sz w:val="28"/>
          <w:szCs w:val="28"/>
        </w:rPr>
        <w:t>из кожно-венерического диспансера;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</w:pPr>
      <w:r>
        <w:rPr>
          <w:rFonts w:ascii="Times New Roman" w:hAnsi="Times New Roman" w:cs="Times New Roman"/>
          <w:sz w:val="28"/>
          <w:szCs w:val="28"/>
        </w:rPr>
        <w:t>из туберкулезного диспансера;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</w:pPr>
      <w:r>
        <w:rPr>
          <w:rFonts w:ascii="Times New Roman" w:hAnsi="Times New Roman" w:cs="Times New Roman"/>
          <w:sz w:val="28"/>
          <w:szCs w:val="28"/>
        </w:rPr>
        <w:t>из наркологического диспансера;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поликлиники (форма 086/у);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госпитальный анализ крови (СПИД, сифилис, гепатит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B6BB6" w:rsidRDefault="00D41683">
      <w:pPr>
        <w:pStyle w:val="af5"/>
        <w:numPr>
          <w:ilvl w:val="0"/>
          <w:numId w:val="7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паспортного стола (справка с места жительства).</w:t>
      </w:r>
    </w:p>
    <w:p w:rsidR="006B6BB6" w:rsidRDefault="00D41683">
      <w:pPr>
        <w:numPr>
          <w:ilvl w:val="0"/>
          <w:numId w:val="6"/>
        </w:numPr>
        <w:spacing w:before="80" w:after="8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цветные фотографии 9*12.</w:t>
      </w:r>
    </w:p>
    <w:p w:rsidR="006B6BB6" w:rsidRDefault="00D41683">
      <w:pPr>
        <w:pStyle w:val="af5"/>
        <w:numPr>
          <w:ilvl w:val="0"/>
          <w:numId w:val="6"/>
        </w:numPr>
        <w:spacing w:before="80" w:after="80" w:line="24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качественные ксерокопии следующих документов: 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страниц паспорта ставленника; 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ставленник женат, то всех страниц паспорта его супруги;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свидетельства о крещении; 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ставленник женат, то свидетельства о венчании; 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ставленник женат, то свидетельства о заключении брака (из ЗАГСа);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рождении детей (если несколько детей, то на каждого ребенка);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богословском образовании;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о светском образовании (если у ставленника есть несколько документов о высшем и (или) среднем специальном образовании, то все дипломы; если есть ученая степень, то соответствующий документ; школьный аттестат нужен, если нет документа о высшем образовании);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заполненных страниц трудовой книжки;</w:t>
      </w:r>
    </w:p>
    <w:p w:rsidR="006B6BB6" w:rsidRDefault="00D41683">
      <w:pPr>
        <w:pStyle w:val="af5"/>
        <w:numPr>
          <w:ilvl w:val="0"/>
          <w:numId w:val="8"/>
        </w:numPr>
        <w:spacing w:before="80" w:after="80" w:line="240" w:lineRule="auto"/>
        <w:ind w:left="113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страниц военного билета (приписного свидетельства).</w:t>
      </w:r>
    </w:p>
    <w:p w:rsidR="006B6BB6" w:rsidRDefault="00D41683">
      <w:pPr>
        <w:pStyle w:val="af5"/>
        <w:numPr>
          <w:ilvl w:val="0"/>
          <w:numId w:val="6"/>
        </w:numPr>
        <w:spacing w:before="80"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из КДС (для учащихся на заочном секторе КДС).</w:t>
      </w:r>
    </w:p>
    <w:p w:rsidR="006B6BB6" w:rsidRDefault="00D41683">
      <w:pPr>
        <w:pStyle w:val="af5"/>
        <w:numPr>
          <w:ilvl w:val="0"/>
          <w:numId w:val="6"/>
        </w:numPr>
        <w:spacing w:before="8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бланк ставленнической исповеди.</w:t>
      </w:r>
      <w:r>
        <w:br w:type="page"/>
      </w:r>
    </w:p>
    <w:p w:rsidR="006B6BB6" w:rsidRDefault="00D41683">
      <w:pPr>
        <w:pStyle w:val="af6"/>
        <w:tabs>
          <w:tab w:val="left" w:pos="360"/>
        </w:tabs>
        <w:spacing w:before="120" w:after="120"/>
        <w:ind w:left="0" w:firstLine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Приложение 3</w:t>
      </w:r>
    </w:p>
    <w:p w:rsidR="006B6BB6" w:rsidRDefault="00D41683">
      <w:pPr>
        <w:shd w:val="clear" w:color="auto" w:fill="FFFFFF"/>
        <w:spacing w:after="12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вопросов для кандидата на рукоположение во диакона</w:t>
      </w:r>
    </w:p>
    <w:p w:rsidR="006B6BB6" w:rsidRDefault="006B6BB6">
      <w:pPr>
        <w:shd w:val="clear" w:color="auto" w:fill="FFFFFF"/>
        <w:spacing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 совершения великой и вседневной вечерни.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 совершения литии на всенощном бдении.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Чин совершения вседневной, славословной и полиелейной утрени. 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 совершения Литургии (входные молитвы, проскомидия, начало литургии оглашенных, малый вход, чтение Апостола и Евангелия, великий вход, Евхаристический канон, причастие священнослужителей и мирян, окончание Литургии и потребление Святых Христовых Тайн).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Входные молитвы, порядок облачения, молитвы на облачение и на умовение рук, Херувимская песнь,  поминовение на великом входе и ектенья по Причащении «Прости приимше» (наизусть). 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 на проскомидии, перед началом литургии оглашенных, во время малого входа, трисвятого, перед чтением Евангелия, на Великом входе, на Евхаристическом каноне, после возгласа «Святая Святым». (наизусть).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каждения на вечерне на «Господи воззвах», на литии, на утрени на 9 песни канона, на Литургии по проскомидии, на Апостоле, Херувимской песни и Евхаристическом каноне, на Великом входе на Литургии Преждеосвященных Даров. 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Известие учительное. (Знать ответы, касающиеся приготовления священнослужителя к совершению Литургии, требований к веществам, на которых совершается Литургия и решений нестандартных ситуаций, которые могут случиться при совершении Литургии).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содержания документа «Об участии верных в Евхаристии». </w:t>
      </w:r>
    </w:p>
    <w:p w:rsidR="006B6BB6" w:rsidRDefault="00D41683">
      <w:pPr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227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Чин поставления во чтеца, иподиакона и чин диаконской хиротонии. (см. статью иером. Константина (Островского) в  журнале «Московские Епархиальные Ведомости» № 7-8, 2002).</w:t>
      </w:r>
    </w:p>
    <w:p w:rsidR="006B6BB6" w:rsidRDefault="006B6BB6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BB6" w:rsidRDefault="00D4168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Ставленник должен показать грамотное чтение богослужебных текстов (особенно из служебника).</w:t>
      </w:r>
    </w:p>
    <w:p w:rsidR="006B6BB6" w:rsidRDefault="00D41683">
      <w:pPr>
        <w:pStyle w:val="af6"/>
        <w:tabs>
          <w:tab w:val="left" w:pos="360"/>
        </w:tabs>
        <w:spacing w:before="120" w:after="120"/>
        <w:ind w:left="0" w:firstLine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6B6BB6" w:rsidRDefault="00D4168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br w:type="page"/>
      </w:r>
    </w:p>
    <w:p w:rsidR="006B6BB6" w:rsidRDefault="00D41683">
      <w:pPr>
        <w:pStyle w:val="af6"/>
        <w:tabs>
          <w:tab w:val="left" w:pos="360"/>
        </w:tabs>
        <w:spacing w:after="170"/>
        <w:ind w:left="0" w:firstLine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Приложение 4</w:t>
      </w:r>
    </w:p>
    <w:p w:rsidR="006B6BB6" w:rsidRDefault="00D41683">
      <w:pPr>
        <w:pStyle w:val="af6"/>
        <w:tabs>
          <w:tab w:val="left" w:pos="360"/>
        </w:tabs>
        <w:spacing w:after="170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вопросов для кандидата на рукоположение во иерея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иерея на проскомидии (очень подробно).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каждения в начале Всенощного бдения и на полиелее.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разворачивания и сворачивания антиминса на Божественной литургии.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Диалоги на проскомидии, перед началом литургии оглашенных, во время малого входа, трисвятого, перед чтением Евангелия, на Великом входе, на Евхаристическом каноне, после возгласа «Святая Святым». (наизусть).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Тропари по поставлении Святых Даров на Великом Входе (наизусть).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после возгласа «Святая святым» (наизусть).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Молитва на благословение кадила и молитва перед причастием (наизусть).  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произнесения отпустов.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 в действиях священника при служении с диаконом и без диакона.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Действия священника на Литургии Преждеосвященных Даров.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Знание содержания документа «Об участии верных в Евхаристии». 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454" w:hanging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Богословский смысл и чинопоследование Таинств Крещения и Миропомазания.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-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Богословский смысл и чинопоследование Таинства Брака.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hanging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Богословский смысл и чинопоследование Таинства Исповеди.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0" w:hanging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Богословский смысл и чинопоследование Таинства Елеосвящения.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340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Чинопоследование чина погребения мирских человек.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340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Чинопоследование причащения больных на дому.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340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Чинопоследование общего молебна.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283" w:hanging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Чинопоследование малого освящения воды.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340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Известие учительное.</w:t>
      </w:r>
    </w:p>
    <w:p w:rsidR="006B6BB6" w:rsidRDefault="00D41683">
      <w:pPr>
        <w:numPr>
          <w:ilvl w:val="0"/>
          <w:numId w:val="4"/>
        </w:numPr>
        <w:tabs>
          <w:tab w:val="left" w:pos="360"/>
        </w:tabs>
        <w:spacing w:after="170" w:line="240" w:lineRule="auto"/>
        <w:ind w:left="340" w:hanging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Чин иерейской хиротонии. (см. статью иером. Константина (Островского) в журнале «Московские Епархиальные Ведомости» № 7-8, 2002).</w:t>
      </w:r>
    </w:p>
    <w:p w:rsidR="006B6BB6" w:rsidRDefault="006B6BB6">
      <w:pPr>
        <w:spacing w:after="170" w:line="240" w:lineRule="auto"/>
        <w:rPr>
          <w:rFonts w:ascii="Times New Roman" w:hAnsi="Times New Roman" w:cs="Times New Roman"/>
          <w:sz w:val="28"/>
          <w:szCs w:val="28"/>
        </w:rPr>
      </w:pPr>
    </w:p>
    <w:p w:rsidR="006B6BB6" w:rsidRDefault="006B6BB6">
      <w:pPr>
        <w:shd w:val="clear" w:color="auto" w:fill="FFFFFF"/>
        <w:spacing w:after="17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B6" w:rsidRPr="004B51C5" w:rsidRDefault="006B6BB6">
      <w:pPr>
        <w:pStyle w:val="Body1"/>
        <w:spacing w:after="170"/>
        <w:ind w:firstLine="720"/>
        <w:jc w:val="center"/>
        <w:outlineLvl w:val="0"/>
        <w:rPr>
          <w:lang w:val="ru-RU"/>
        </w:rPr>
      </w:pPr>
    </w:p>
    <w:sectPr w:rsidR="006B6BB6" w:rsidRPr="004B51C5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9B7" w:rsidRDefault="009829B7">
      <w:pPr>
        <w:spacing w:after="0" w:line="240" w:lineRule="auto"/>
      </w:pPr>
      <w:r>
        <w:separator/>
      </w:r>
    </w:p>
  </w:endnote>
  <w:endnote w:type="continuationSeparator" w:id="0">
    <w:p w:rsidR="009829B7" w:rsidRDefault="0098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BB6" w:rsidRDefault="00D41683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176499">
      <w:rPr>
        <w:noProof/>
      </w:rPr>
      <w:t>9</w:t>
    </w:r>
    <w:r>
      <w:fldChar w:fldCharType="end"/>
    </w:r>
  </w:p>
  <w:p w:rsidR="006B6BB6" w:rsidRDefault="006B6BB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9B7" w:rsidRDefault="009829B7">
      <w:r>
        <w:separator/>
      </w:r>
    </w:p>
  </w:footnote>
  <w:footnote w:type="continuationSeparator" w:id="0">
    <w:p w:rsidR="009829B7" w:rsidRDefault="009829B7">
      <w:r>
        <w:continuationSeparator/>
      </w:r>
    </w:p>
  </w:footnote>
  <w:footnote w:id="1">
    <w:p w:rsidR="006B6BB6" w:rsidRDefault="00D41683">
      <w:pPr>
        <w:pStyle w:val="af7"/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ab/>
        <w:t>Приложить копию свидетельства о разводе.</w:t>
      </w:r>
    </w:p>
  </w:footnote>
  <w:footnote w:id="2">
    <w:p w:rsidR="006B6BB6" w:rsidRDefault="00D41683">
      <w:pPr>
        <w:pStyle w:val="af7"/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ab/>
        <w:t>Приложить копию свидетельства о смерти.</w:t>
      </w:r>
    </w:p>
  </w:footnote>
  <w:footnote w:id="3">
    <w:p w:rsidR="006B6BB6" w:rsidRDefault="00D41683">
      <w:pPr>
        <w:pStyle w:val="af7"/>
      </w:pPr>
      <w:r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ab/>
        <w:t>При заполнении анкет не допускаются прочерки (следует указывать: «не был»; «не имею» и   т.д.)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5C8F"/>
    <w:multiLevelType w:val="multilevel"/>
    <w:tmpl w:val="2FCAA36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974558A"/>
    <w:multiLevelType w:val="multilevel"/>
    <w:tmpl w:val="D2080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E3B6D0A"/>
    <w:multiLevelType w:val="multilevel"/>
    <w:tmpl w:val="B3C62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5F07E65"/>
    <w:multiLevelType w:val="multilevel"/>
    <w:tmpl w:val="90A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0576731"/>
    <w:multiLevelType w:val="multilevel"/>
    <w:tmpl w:val="2E5C0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4D33352"/>
    <w:multiLevelType w:val="multilevel"/>
    <w:tmpl w:val="2FE4B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586406"/>
    <w:multiLevelType w:val="multilevel"/>
    <w:tmpl w:val="197AE4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C384014"/>
    <w:multiLevelType w:val="multilevel"/>
    <w:tmpl w:val="E354A86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0E3351"/>
    <w:multiLevelType w:val="multilevel"/>
    <w:tmpl w:val="CC603A3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BB6"/>
    <w:rsid w:val="00176499"/>
    <w:rsid w:val="004B51C5"/>
    <w:rsid w:val="006A67D1"/>
    <w:rsid w:val="006B6BB6"/>
    <w:rsid w:val="009829B7"/>
    <w:rsid w:val="00D4168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74900-F047-4DA2-83CD-40E3B0E5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Pr>
      <w:rFonts w:ascii="Cambria" w:eastAsia="Calibri" w:hAnsi="Cambria" w:cs="Tahoma"/>
      <w:color w:val="365F91"/>
      <w:sz w:val="32"/>
      <w:szCs w:val="32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qFormat/>
    <w:rPr>
      <w:sz w:val="20"/>
      <w:szCs w:val="20"/>
    </w:rPr>
  </w:style>
  <w:style w:type="character" w:styleId="a8">
    <w:name w:val="footnote reference"/>
    <w:basedOn w:val="a0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Times New Roman" w:hAnsi="Times New Roman"/>
      <w:sz w:val="28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Times New Roman" w:hAnsi="Times New Roman"/>
      <w:b/>
      <w:sz w:val="28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a9">
    <w:name w:val="Символ сноски"/>
    <w:qFormat/>
  </w:style>
  <w:style w:type="character" w:customStyle="1" w:styleId="aa">
    <w:name w:val="Привязка сноски"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ы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Body1">
    <w:name w:val="Body 1"/>
    <w:qFormat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f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 Paragraph"/>
    <w:basedOn w:val="a"/>
    <w:qFormat/>
    <w:pPr>
      <w:ind w:left="720"/>
      <w:contextualSpacing/>
    </w:pPr>
  </w:style>
  <w:style w:type="paragraph" w:styleId="af6">
    <w:name w:val="Body Text Indent"/>
    <w:basedOn w:val="a"/>
    <w:pPr>
      <w:spacing w:after="0" w:line="240" w:lineRule="auto"/>
      <w:ind w:left="35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</w:style>
  <w:style w:type="paragraph" w:customStyle="1" w:styleId="af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1930</Words>
  <Characters>11001</Characters>
  <Application>Microsoft Office Word</Application>
  <DocSecurity>0</DocSecurity>
  <Lines>91</Lines>
  <Paragraphs>25</Paragraphs>
  <ScaleCrop>false</ScaleCrop>
  <Company>Hewlett-Packard</Company>
  <LinksUpToDate>false</LinksUpToDate>
  <CharactersWithSpaces>12906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Лазарь</cp:lastModifiedBy>
  <cp:revision>43</cp:revision>
  <cp:lastPrinted>2020-12-29T05:04:00Z</cp:lastPrinted>
  <dcterms:created xsi:type="dcterms:W3CDTF">2020-06-03T06:26:00Z</dcterms:created>
  <dcterms:modified xsi:type="dcterms:W3CDTF">2021-09-10T06:24:00Z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